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bookmarkStart w:id="0" w:name="_GoBack"/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r w:rsidR="00FA5F8E">
        <w:rPr>
          <w:rStyle w:val="normaltextrun"/>
          <w:rFonts w:ascii="Calibri" w:hAnsi="Calibri" w:cs="Calibri"/>
          <w:b/>
          <w:bCs/>
          <w:sz w:val="18"/>
          <w:szCs w:val="18"/>
        </w:rPr>
        <w:t>DLA OSOBY, KTÓREJ DOTYCZY ZGŁOSZENIE SYGNALISTY</w:t>
      </w:r>
    </w:p>
    <w:bookmarkEnd w:id="0"/>
    <w:p w:rsidR="00C409EA" w:rsidRDefault="00C409EA" w:rsidP="00C409E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C409EA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16"/>
          <w:szCs w:val="16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 w:rsidR="00424500" w:rsidRPr="000810C2">
        <w:rPr>
          <w:rStyle w:val="normaltextrun"/>
          <w:b/>
          <w:bCs/>
          <w:sz w:val="20"/>
          <w:szCs w:val="20"/>
        </w:rPr>
        <w:t>Szkoła Podstawowa nr 401 w Warszawie</w:t>
      </w:r>
      <w:r w:rsidR="00424500">
        <w:t xml:space="preserve">  </w:t>
      </w:r>
      <w:r w:rsidR="00424500">
        <w:rPr>
          <w:rStyle w:val="normaltextrun"/>
          <w:rFonts w:ascii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</w:p>
    <w:p w:rsidR="00424500" w:rsidRPr="000810C2" w:rsidRDefault="00424500" w:rsidP="00424500">
      <w:pPr>
        <w:spacing w:after="0" w:line="240" w:lineRule="auto"/>
        <w:jc w:val="both"/>
        <w:rPr>
          <w:b/>
          <w:sz w:val="20"/>
          <w:szCs w:val="20"/>
        </w:rPr>
      </w:pPr>
      <w:r>
        <w:rPr>
          <w:color w:val="565656"/>
          <w:w w:val="95"/>
        </w:rPr>
        <w:t xml:space="preserve">   </w:t>
      </w:r>
      <w:r w:rsidRPr="000810C2">
        <w:rPr>
          <w:b/>
          <w:w w:val="95"/>
          <w:sz w:val="20"/>
          <w:szCs w:val="20"/>
        </w:rPr>
        <w:t>ul.</w:t>
      </w:r>
      <w:r w:rsidRPr="000810C2">
        <w:rPr>
          <w:b/>
          <w:spacing w:val="2"/>
          <w:sz w:val="20"/>
          <w:szCs w:val="20"/>
        </w:rPr>
        <w:t xml:space="preserve"> </w:t>
      </w:r>
      <w:r w:rsidRPr="000810C2">
        <w:rPr>
          <w:b/>
          <w:w w:val="95"/>
          <w:sz w:val="20"/>
          <w:szCs w:val="20"/>
        </w:rPr>
        <w:t>Tarnowiecka</w:t>
      </w:r>
      <w:r w:rsidRPr="000810C2">
        <w:rPr>
          <w:b/>
          <w:spacing w:val="51"/>
          <w:sz w:val="20"/>
          <w:szCs w:val="20"/>
        </w:rPr>
        <w:t xml:space="preserve"> </w:t>
      </w:r>
      <w:r w:rsidRPr="000810C2">
        <w:rPr>
          <w:b/>
          <w:spacing w:val="-10"/>
          <w:w w:val="95"/>
          <w:sz w:val="20"/>
          <w:szCs w:val="20"/>
        </w:rPr>
        <w:t>4</w:t>
      </w:r>
    </w:p>
    <w:p w:rsidR="00424500" w:rsidRPr="000810C2" w:rsidRDefault="00424500" w:rsidP="00424500">
      <w:pPr>
        <w:spacing w:after="0" w:line="240" w:lineRule="auto"/>
        <w:jc w:val="both"/>
        <w:rPr>
          <w:b/>
          <w:sz w:val="20"/>
          <w:szCs w:val="20"/>
        </w:rPr>
      </w:pPr>
      <w:r w:rsidRPr="000810C2">
        <w:rPr>
          <w:b/>
          <w:w w:val="95"/>
          <w:sz w:val="20"/>
          <w:szCs w:val="20"/>
        </w:rPr>
        <w:t xml:space="preserve">   04-174</w:t>
      </w:r>
      <w:r w:rsidRPr="000810C2">
        <w:rPr>
          <w:b/>
          <w:spacing w:val="9"/>
          <w:sz w:val="20"/>
          <w:szCs w:val="20"/>
        </w:rPr>
        <w:t xml:space="preserve"> </w:t>
      </w:r>
      <w:r w:rsidRPr="000810C2">
        <w:rPr>
          <w:b/>
          <w:spacing w:val="-2"/>
          <w:w w:val="95"/>
          <w:sz w:val="20"/>
          <w:szCs w:val="20"/>
        </w:rPr>
        <w:t>Warszawa</w:t>
      </w:r>
    </w:p>
    <w:p w:rsidR="00424500" w:rsidRPr="000810C2" w:rsidRDefault="00424500" w:rsidP="00424500">
      <w:pPr>
        <w:spacing w:after="0" w:line="240" w:lineRule="auto"/>
        <w:jc w:val="both"/>
        <w:rPr>
          <w:b/>
          <w:sz w:val="20"/>
          <w:szCs w:val="20"/>
        </w:rPr>
      </w:pPr>
      <w:r w:rsidRPr="000810C2">
        <w:rPr>
          <w:b/>
          <w:sz w:val="20"/>
          <w:szCs w:val="20"/>
        </w:rPr>
        <w:t xml:space="preserve">   tel.</w:t>
      </w:r>
      <w:r w:rsidRPr="000810C2">
        <w:rPr>
          <w:b/>
          <w:spacing w:val="-12"/>
          <w:sz w:val="20"/>
          <w:szCs w:val="20"/>
        </w:rPr>
        <w:t xml:space="preserve"> </w:t>
      </w:r>
      <w:r w:rsidRPr="000810C2">
        <w:rPr>
          <w:b/>
          <w:sz w:val="20"/>
          <w:szCs w:val="20"/>
        </w:rPr>
        <w:t>22</w:t>
      </w:r>
      <w:r w:rsidRPr="000810C2">
        <w:rPr>
          <w:b/>
          <w:spacing w:val="-13"/>
          <w:sz w:val="20"/>
          <w:szCs w:val="20"/>
        </w:rPr>
        <w:t xml:space="preserve"> </w:t>
      </w:r>
      <w:r w:rsidRPr="000810C2">
        <w:rPr>
          <w:b/>
          <w:spacing w:val="-2"/>
          <w:sz w:val="20"/>
          <w:szCs w:val="20"/>
        </w:rPr>
        <w:t>6125179</w:t>
      </w:r>
    </w:p>
    <w:p w:rsidR="00424500" w:rsidRPr="000810C2" w:rsidRDefault="00424500" w:rsidP="00424500">
      <w:pPr>
        <w:spacing w:after="0" w:line="240" w:lineRule="auto"/>
        <w:jc w:val="both"/>
        <w:rPr>
          <w:b/>
          <w:sz w:val="20"/>
          <w:szCs w:val="20"/>
        </w:rPr>
      </w:pPr>
      <w:r w:rsidRPr="000810C2">
        <w:rPr>
          <w:b/>
          <w:w w:val="95"/>
          <w:sz w:val="20"/>
          <w:szCs w:val="20"/>
        </w:rPr>
        <w:t xml:space="preserve">   email: </w:t>
      </w:r>
      <w:hyperlink r:id="rId8" w:history="1">
        <w:r w:rsidRPr="000810C2">
          <w:rPr>
            <w:rStyle w:val="Hipercze"/>
            <w:b/>
            <w:spacing w:val="-2"/>
            <w:sz w:val="20"/>
            <w:szCs w:val="20"/>
          </w:rPr>
          <w:t>sp401@eduwarszawa.pl</w:t>
        </w:r>
      </w:hyperlink>
    </w:p>
    <w:p w:rsidR="00424500" w:rsidRDefault="00424500" w:rsidP="00424500">
      <w:pPr>
        <w:pStyle w:val="paragraph"/>
        <w:spacing w:before="0" w:beforeAutospacing="0" w:after="200" w:afterAutospacing="0"/>
        <w:jc w:val="both"/>
        <w:textAlignment w:val="baseline"/>
      </w:pP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Dane osobowe będą przetwarzane na podstawie art. 6 ust. 1 lit. c) RODO – obowiązek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administratora, w związku z przepisami ustawy z dnia 14 czerwca 2024 r. o ochronie sygnalistów, w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celu realizacji zadań związanych z obsługą zgłoszeń wewnętrznych.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Pani/Pana dane osobowe zostały podane przez sygnalistę w zgłoszeniu wewnętrznym jako dane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osobowe dotyczące osoby, której dotyczy zgłoszenie, rozumianej jako osoba fizyczna, wskazana w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zgłoszeniu lub ujawnieniu publicznym jako osoba, która dopuściła się naruszenia prawa, lub jako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osoba, z którą osoba, która dopuściła się naruszenia prawa, lub jest powiązana.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Pani/Pana</w:t>
      </w:r>
      <w:r w:rsidRPr="00FA5F8E">
        <w:rPr>
          <w:rStyle w:val="normaltextrun"/>
          <w:rFonts w:ascii="Calibri" w:hAnsi="Calibri" w:cs="Calibri"/>
          <w:sz w:val="18"/>
          <w:szCs w:val="18"/>
        </w:rPr>
        <w:t xml:space="preserve"> dane osobowe (czyli: imię, nazwisko, stanowisko) przetwarzane będą w ściśle określonym,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minimalnym zakresie niezbędnym do osiągnięcia celu, o którym mowa powyżej.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Pani/Pana</w:t>
      </w:r>
      <w:r w:rsidRPr="00FA5F8E">
        <w:rPr>
          <w:rStyle w:val="normaltextrun"/>
          <w:rFonts w:ascii="Calibri" w:hAnsi="Calibri" w:cs="Calibri"/>
          <w:sz w:val="18"/>
          <w:szCs w:val="18"/>
        </w:rPr>
        <w:t xml:space="preserve"> dane osobowe, które Administrator przetwarza w związku z przyjęciem zgłoszenia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wewnętrznego lub podjęciem działań następczych oraz dokumenty związane z tym zgłoszeniem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przez okres 3 lat po zakończeniu roku kalendarzowego, w którym przekazano zgłoszenie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zewnętrzne do organu publicznego właściwego do podjęcia działań następczych lub zakończono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działania następcze, lub po zakończeniu postępowań zainicjowanych tymi działaniami. Po tym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czasie dane osobowe są usuwane, chyba że dokumenty związane ze zgłoszeniem stanowią część akt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postępowań przygotowawczych lub spraw sądowych lub sądowo-administracyjnych. 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zbiera tylko dane niezbędne. Dane niemające znaczenia dla zgłoszenia, nie są zbierane. Dane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przypadkowo zebrane są niezwłocznie usuwane, nie później niż do upływu 14 dni od momentu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ustalenia, że nie są niezbędne.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Z wyjątkami określonymi w pr</w:t>
      </w:r>
      <w:r>
        <w:rPr>
          <w:rStyle w:val="normaltextrun"/>
          <w:rFonts w:ascii="Calibri" w:hAnsi="Calibri" w:cs="Calibri"/>
          <w:sz w:val="18"/>
          <w:szCs w:val="18"/>
        </w:rPr>
        <w:t>zepisach</w:t>
      </w:r>
      <w:r w:rsidR="006F64DB">
        <w:rPr>
          <w:rStyle w:val="normaltextrun"/>
          <w:rFonts w:ascii="Calibri" w:hAnsi="Calibri" w:cs="Calibri"/>
          <w:sz w:val="18"/>
          <w:szCs w:val="18"/>
        </w:rPr>
        <w:t xml:space="preserve"> prawa posiada Pani/Pan prawo do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dostępu do treści swoich danych, z zastrzeżeniem, że przepisu art. 15 ust. 1 lit. g RODO w zakresie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przekazania informacji o źródle pozyskania danych osobowych nie stosuje się, chyba że sygnalista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nie spełnia warunków wskazanych w art. 6 albo wyraził wyraźną zgodę na takie przekazanie</w:t>
      </w:r>
      <w:r>
        <w:rPr>
          <w:rStyle w:val="normaltextrun"/>
          <w:rFonts w:ascii="Calibri" w:hAnsi="Calibri" w:cs="Calibri"/>
          <w:sz w:val="18"/>
          <w:szCs w:val="18"/>
        </w:rPr>
        <w:t xml:space="preserve">, </w:t>
      </w:r>
      <w:r w:rsidRPr="00FA5F8E">
        <w:rPr>
          <w:rStyle w:val="normaltextrun"/>
          <w:rFonts w:ascii="Calibri" w:hAnsi="Calibri" w:cs="Calibri"/>
          <w:sz w:val="18"/>
          <w:szCs w:val="18"/>
        </w:rPr>
        <w:t>do ich sprostowania, usunięcia w przypadkach określonych w art. 17 RODO, ograniczenia przetwarzania w przypadkach określonych w art. 18 RODO.</w:t>
      </w:r>
    </w:p>
    <w:p w:rsidR="00FA5F8E" w:rsidRDefault="00FA5F8E" w:rsidP="00FA5F8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Administrator może przekazać Państwa dane innym podmiotom na podstawie przepisów prawa lub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powierzyć podmiotom świadczącym usługi Administratorowi na podstawie umowy powierzenia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przetwarzania. Dane osobowe będą udostępniane odrębnym administratorom, tj. właściwym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organom, w przypadku podejmowania działań następczych.</w:t>
      </w:r>
    </w:p>
    <w:p w:rsidR="00DC2CBD" w:rsidRPr="00A34663" w:rsidRDefault="00FA5F8E" w:rsidP="00FA5F8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Administrator</w:t>
      </w:r>
      <w:r w:rsidR="00DC2CBD">
        <w:rPr>
          <w:rStyle w:val="normaltextrun"/>
          <w:rFonts w:ascii="Calibri" w:hAnsi="Calibri" w:cs="Calibri"/>
          <w:sz w:val="18"/>
          <w:szCs w:val="18"/>
        </w:rPr>
        <w:t xml:space="preserve"> nie przekazuje danych osobowych do państw trzecich i organizacji międzynarodowych.</w:t>
      </w:r>
      <w:r w:rsidR="00DC2CBD" w:rsidRPr="00FA5F8E">
        <w:rPr>
          <w:rStyle w:val="normaltextrun"/>
          <w:rFonts w:ascii="Calibri" w:hAnsi="Calibri" w:cs="Calibri"/>
          <w:sz w:val="18"/>
          <w:szCs w:val="18"/>
        </w:rPr>
        <w:t> </w:t>
      </w:r>
      <w:r w:rsidRPr="00FA5F8E">
        <w:rPr>
          <w:rStyle w:val="normaltextrun"/>
          <w:rFonts w:ascii="Calibri" w:hAnsi="Calibri" w:cs="Calibri"/>
          <w:sz w:val="18"/>
          <w:szCs w:val="18"/>
        </w:rPr>
        <w:t>Pani/pana d</w:t>
      </w:r>
      <w:r w:rsidR="00DC2CBD" w:rsidRPr="00DC2CBD">
        <w:rPr>
          <w:rStyle w:val="normaltextrun"/>
          <w:rFonts w:ascii="Calibri" w:hAnsi="Calibri" w:cs="Calibri"/>
          <w:sz w:val="18"/>
          <w:szCs w:val="18"/>
        </w:rPr>
        <w:t>ane osobowe nie będą przetwarzane w sposób zautomatyzowany i nie będą podlegały</w:t>
      </w:r>
      <w:r w:rsidR="00DC2C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DC2CBD" w:rsidRPr="00DC2CBD">
        <w:rPr>
          <w:rStyle w:val="normaltextrun"/>
          <w:rFonts w:ascii="Calibri" w:hAnsi="Calibri" w:cs="Calibri"/>
          <w:sz w:val="18"/>
          <w:szCs w:val="18"/>
        </w:rPr>
        <w:t>profilowaniu.</w:t>
      </w:r>
    </w:p>
    <w:p w:rsidR="00C409EA" w:rsidRPr="00A34663" w:rsidRDefault="006F64DB" w:rsidP="00DC2CBD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Osobie, której</w:t>
      </w:r>
      <w:r w:rsidR="00C409EA">
        <w:rPr>
          <w:rStyle w:val="normaltextrun"/>
          <w:rFonts w:ascii="Calibri" w:hAnsi="Calibri" w:cs="Calibri"/>
          <w:sz w:val="18"/>
          <w:szCs w:val="18"/>
        </w:rPr>
        <w:t xml:space="preserve"> dane dotyczą, przysługuje prawo złożenia skargi do organu nadzorczego – Prezesa Urzędu Ochrony Danych Osobowyc</w:t>
      </w:r>
      <w:r w:rsidR="00090644">
        <w:rPr>
          <w:rStyle w:val="normaltextrun"/>
          <w:rFonts w:ascii="Calibri" w:hAnsi="Calibri" w:cs="Calibri"/>
          <w:sz w:val="18"/>
          <w:szCs w:val="18"/>
        </w:rPr>
        <w:t>h ul. Stawki 2, 00-193 Warszawa, gdy uzna, że przetwarzanie jej danych osobowych narusza przepisy ogólnego Rozporządzenia o ochronie danych osobowych.</w:t>
      </w:r>
      <w:r w:rsidR="00C409EA">
        <w:rPr>
          <w:rStyle w:val="normaltextrun"/>
          <w:rFonts w:ascii="Calibri" w:hAnsi="Calibri" w:cs="Calibri"/>
          <w:sz w:val="18"/>
          <w:szCs w:val="18"/>
        </w:rPr>
        <w:t> </w:t>
      </w:r>
      <w:r w:rsidR="00C409EA" w:rsidRPr="00A34663">
        <w:rPr>
          <w:rStyle w:val="normaltextrun"/>
        </w:rPr>
        <w:t> </w:t>
      </w:r>
    </w:p>
    <w:p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w:rsidR="00490DAC" w:rsidRPr="00A34663" w:rsidRDefault="00424500">
      <w:pPr>
        <w:rPr>
          <w:rStyle w:val="normaltextrun"/>
          <w:rFonts w:ascii="Calibri" w:eastAsia="Times New Roman" w:hAnsi="Calibri" w:cs="Calibri"/>
          <w:sz w:val="18"/>
          <w:szCs w:val="18"/>
          <w:lang w:eastAsia="pl-PL"/>
        </w:rPr>
      </w:pPr>
    </w:p>
    <w:sectPr w:rsidR="00490DAC" w:rsidRPr="00A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EA"/>
    <w:rsid w:val="0000454C"/>
    <w:rsid w:val="00090644"/>
    <w:rsid w:val="000E632B"/>
    <w:rsid w:val="001D08CE"/>
    <w:rsid w:val="00220E8A"/>
    <w:rsid w:val="00424500"/>
    <w:rsid w:val="005D0FD3"/>
    <w:rsid w:val="006F64DB"/>
    <w:rsid w:val="00A34663"/>
    <w:rsid w:val="00C409EA"/>
    <w:rsid w:val="00DC2CBD"/>
    <w:rsid w:val="00EE4A8D"/>
    <w:rsid w:val="00FA5F8E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3D46"/>
  <w15:chartTrackingRefBased/>
  <w15:docId w15:val="{9E0C3055-22A7-41C6-92AB-8D70CD3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09EA"/>
  </w:style>
  <w:style w:type="character" w:customStyle="1" w:styleId="eop">
    <w:name w:val="eop"/>
    <w:basedOn w:val="Domylnaczcionkaakapitu"/>
    <w:rsid w:val="00C409EA"/>
  </w:style>
  <w:style w:type="character" w:styleId="Hipercze">
    <w:name w:val="Hyperlink"/>
    <w:basedOn w:val="Domylnaczcionkaakapitu"/>
    <w:semiHidden/>
    <w:unhideWhenUsed/>
    <w:rsid w:val="00424500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01@eduwarsza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38524-1305-497F-AB3B-32AFEC54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3A0DD-4D9A-4DAA-B3C3-59C1A0D70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6602E-0E07-4AD1-AE0F-C59D5D730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a8076-6ed5-4080-bacc-5e6caceab6ea"/>
    <ds:schemaRef ds:uri="b7a8178e-2c20-4216-b6a4-37780b0e7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Olga Kocoń</cp:lastModifiedBy>
  <cp:revision>2</cp:revision>
  <dcterms:created xsi:type="dcterms:W3CDTF">2024-12-02T13:19:00Z</dcterms:created>
  <dcterms:modified xsi:type="dcterms:W3CDTF">2024-12-02T13:19:00Z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